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7D1" w14:textId="77777777" w:rsidR="00E27852" w:rsidRDefault="00E27852" w:rsidP="006646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DCF29" w14:textId="77777777" w:rsidR="006646DA" w:rsidRPr="004C7A33" w:rsidRDefault="006646DA" w:rsidP="006646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0EE">
        <w:rPr>
          <w:rFonts w:ascii="Times New Roman" w:hAnsi="Times New Roman" w:cs="Times New Roman"/>
          <w:sz w:val="28"/>
          <w:szCs w:val="28"/>
        </w:rPr>
        <w:t>COMMUNIQUÉ DE PRESSE</w:t>
      </w:r>
    </w:p>
    <w:p w14:paraId="60311064" w14:textId="77777777" w:rsidR="006646DA" w:rsidRPr="00C10655" w:rsidRDefault="006646DA" w:rsidP="00664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EA485" w14:textId="77777777" w:rsidR="006646DA" w:rsidRPr="00E27852" w:rsidRDefault="00146A3B" w:rsidP="00664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Décision n°</w:t>
      </w:r>
      <w:r w:rsidR="003E33F4">
        <w:rPr>
          <w:rFonts w:ascii="Times New Roman" w:hAnsi="Times New Roman" w:cs="Times New Roman"/>
          <w:b/>
          <w:sz w:val="28"/>
          <w:szCs w:val="28"/>
        </w:rPr>
        <w:t> </w:t>
      </w:r>
      <w:r w:rsidR="003A6081">
        <w:rPr>
          <w:rFonts w:ascii="Times New Roman" w:hAnsi="Times New Roman" w:cs="Times New Roman"/>
          <w:b/>
          <w:sz w:val="28"/>
          <w:szCs w:val="28"/>
        </w:rPr>
        <w:t>202</w:t>
      </w:r>
      <w:r w:rsidR="00BB3DE0">
        <w:rPr>
          <w:rFonts w:ascii="Times New Roman" w:hAnsi="Times New Roman" w:cs="Times New Roman"/>
          <w:b/>
          <w:sz w:val="28"/>
          <w:szCs w:val="28"/>
        </w:rPr>
        <w:t>3</w:t>
      </w:r>
      <w:r w:rsidR="00EF2509">
        <w:rPr>
          <w:rFonts w:ascii="Times New Roman" w:hAnsi="Times New Roman" w:cs="Times New Roman"/>
          <w:b/>
          <w:sz w:val="28"/>
          <w:szCs w:val="28"/>
        </w:rPr>
        <w:t>-</w:t>
      </w:r>
      <w:r w:rsidR="009B7EC1">
        <w:rPr>
          <w:rFonts w:ascii="Times New Roman" w:hAnsi="Times New Roman" w:cs="Times New Roman"/>
          <w:b/>
          <w:sz w:val="28"/>
          <w:szCs w:val="28"/>
        </w:rPr>
        <w:t>5</w:t>
      </w:r>
      <w:r w:rsidR="000C5B00">
        <w:rPr>
          <w:rFonts w:ascii="Times New Roman" w:hAnsi="Times New Roman" w:cs="Times New Roman"/>
          <w:b/>
          <w:sz w:val="28"/>
          <w:szCs w:val="28"/>
        </w:rPr>
        <w:t xml:space="preserve"> RIP</w:t>
      </w:r>
      <w:r w:rsidR="0002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0B2">
        <w:rPr>
          <w:rFonts w:ascii="Times New Roman" w:hAnsi="Times New Roman" w:cs="Times New Roman"/>
          <w:b/>
          <w:sz w:val="28"/>
          <w:szCs w:val="28"/>
        </w:rPr>
        <w:t xml:space="preserve">du </w:t>
      </w:r>
      <w:r w:rsidR="009B7EC1">
        <w:rPr>
          <w:rFonts w:ascii="Times New Roman" w:hAnsi="Times New Roman" w:cs="Times New Roman"/>
          <w:b/>
          <w:sz w:val="28"/>
          <w:szCs w:val="28"/>
        </w:rPr>
        <w:t>3 mai</w:t>
      </w:r>
      <w:r w:rsidR="00BB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509">
        <w:rPr>
          <w:rFonts w:ascii="Times New Roman" w:hAnsi="Times New Roman" w:cs="Times New Roman"/>
          <w:b/>
          <w:sz w:val="28"/>
          <w:szCs w:val="28"/>
        </w:rPr>
        <w:t>202</w:t>
      </w:r>
      <w:r w:rsidR="00BB3DE0">
        <w:rPr>
          <w:rFonts w:ascii="Times New Roman" w:hAnsi="Times New Roman" w:cs="Times New Roman"/>
          <w:b/>
          <w:sz w:val="28"/>
          <w:szCs w:val="28"/>
        </w:rPr>
        <w:t>3</w:t>
      </w:r>
    </w:p>
    <w:p w14:paraId="450A5423" w14:textId="77777777" w:rsidR="006646DA" w:rsidRPr="00B01DB2" w:rsidRDefault="006646DA" w:rsidP="00146A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4AAA0B" w14:textId="77777777" w:rsidR="00146A3B" w:rsidRPr="00B01DB2" w:rsidRDefault="00EF2509" w:rsidP="00FE35B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DB2">
        <w:rPr>
          <w:rFonts w:ascii="Times New Roman" w:hAnsi="Times New Roman" w:cs="Times New Roman"/>
          <w:i/>
          <w:sz w:val="28"/>
          <w:szCs w:val="28"/>
        </w:rPr>
        <w:t>(Proposition de loi</w:t>
      </w:r>
      <w:r w:rsidR="00737773" w:rsidRPr="00737773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 </w:t>
      </w:r>
      <w:r w:rsidR="00737773" w:rsidRPr="00B01DB2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visant à </w:t>
      </w:r>
      <w:r w:rsidR="009B7EC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interdire un </w:t>
      </w:r>
      <w:r w:rsidR="00737773" w:rsidRPr="00B01DB2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âge légal de départ à la retraite </w:t>
      </w:r>
      <w:r w:rsidR="009B7EC1">
        <w:rPr>
          <w:rFonts w:ascii="Times New Roman" w:hAnsi="Times New Roman" w:cs="Times New Roman"/>
          <w:i/>
          <w:sz w:val="28"/>
          <w:szCs w:val="28"/>
          <w:lang w:eastAsia="fr-FR"/>
        </w:rPr>
        <w:t xml:space="preserve">supérieur à </w:t>
      </w:r>
      <w:r w:rsidR="00737773" w:rsidRPr="00B01DB2">
        <w:rPr>
          <w:rFonts w:ascii="Times New Roman" w:hAnsi="Times New Roman" w:cs="Times New Roman"/>
          <w:i/>
          <w:sz w:val="28"/>
          <w:szCs w:val="28"/>
          <w:lang w:eastAsia="fr-FR"/>
        </w:rPr>
        <w:t>62 ans</w:t>
      </w:r>
      <w:r w:rsidR="00737773">
        <w:rPr>
          <w:rFonts w:ascii="Times New Roman" w:hAnsi="Times New Roman" w:cs="Times New Roman"/>
          <w:i/>
          <w:sz w:val="28"/>
          <w:szCs w:val="28"/>
          <w:lang w:eastAsia="fr-FR"/>
        </w:rPr>
        <w:t>)</w:t>
      </w:r>
      <w:r w:rsidR="00BB3DE0" w:rsidRPr="00B01D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6A2DFB" w14:textId="77777777" w:rsidR="0071476A" w:rsidRPr="003F7ED2" w:rsidRDefault="0071476A" w:rsidP="0071476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72C2B0" w14:textId="1B2E44F3" w:rsidR="000C5B00" w:rsidRPr="00B01DB2" w:rsidRDefault="000C5B00" w:rsidP="000C5B00">
      <w:pPr>
        <w:pStyle w:val="Titre3"/>
        <w:jc w:val="center"/>
        <w:rPr>
          <w:i/>
          <w:sz w:val="28"/>
          <w:szCs w:val="28"/>
        </w:rPr>
      </w:pPr>
      <w:r w:rsidRPr="00B01DB2">
        <w:rPr>
          <w:i/>
          <w:sz w:val="28"/>
          <w:szCs w:val="28"/>
        </w:rPr>
        <w:t xml:space="preserve">Le Conseil constitutionnel juge que </w:t>
      </w:r>
      <w:r w:rsidR="005B523C" w:rsidRPr="00B01DB2">
        <w:rPr>
          <w:i/>
          <w:sz w:val="28"/>
          <w:szCs w:val="28"/>
        </w:rPr>
        <w:t>ne porte pas sur une réforme relative à la politique sociale de la nation</w:t>
      </w:r>
      <w:r w:rsidR="00737773" w:rsidRPr="00B01DB2">
        <w:rPr>
          <w:i/>
          <w:sz w:val="28"/>
          <w:szCs w:val="28"/>
        </w:rPr>
        <w:t>, au sens de l’article 11 de la Constitution,</w:t>
      </w:r>
      <w:r w:rsidR="005B523C" w:rsidRPr="00B01DB2">
        <w:rPr>
          <w:i/>
          <w:sz w:val="28"/>
          <w:szCs w:val="28"/>
        </w:rPr>
        <w:t xml:space="preserve"> </w:t>
      </w:r>
      <w:r w:rsidR="00BB3DE0" w:rsidRPr="00B01DB2">
        <w:rPr>
          <w:i/>
          <w:sz w:val="28"/>
          <w:szCs w:val="28"/>
        </w:rPr>
        <w:t xml:space="preserve">la proposition de loi visant à </w:t>
      </w:r>
      <w:r w:rsidR="009B7EC1">
        <w:rPr>
          <w:i/>
          <w:sz w:val="28"/>
          <w:szCs w:val="28"/>
        </w:rPr>
        <w:t xml:space="preserve">interdire un </w:t>
      </w:r>
      <w:r w:rsidR="00BB3DE0" w:rsidRPr="00B01DB2">
        <w:rPr>
          <w:i/>
          <w:sz w:val="28"/>
          <w:szCs w:val="28"/>
        </w:rPr>
        <w:t xml:space="preserve">âge légal de départ à la retraite </w:t>
      </w:r>
      <w:r w:rsidR="009B7EC1">
        <w:rPr>
          <w:i/>
          <w:sz w:val="28"/>
          <w:szCs w:val="28"/>
        </w:rPr>
        <w:t xml:space="preserve">supérieur à </w:t>
      </w:r>
      <w:r w:rsidR="00BB3DE0" w:rsidRPr="00B01DB2">
        <w:rPr>
          <w:i/>
          <w:sz w:val="28"/>
          <w:szCs w:val="28"/>
        </w:rPr>
        <w:t>62 ans</w:t>
      </w:r>
      <w:r w:rsidR="005B523C">
        <w:rPr>
          <w:i/>
          <w:sz w:val="28"/>
          <w:szCs w:val="28"/>
        </w:rPr>
        <w:t xml:space="preserve"> </w:t>
      </w:r>
    </w:p>
    <w:p w14:paraId="3CA39EDF" w14:textId="77777777" w:rsidR="00480301" w:rsidRPr="00480301" w:rsidRDefault="00480301" w:rsidP="00480301">
      <w:pPr>
        <w:pStyle w:val="TexteCC"/>
        <w:ind w:left="0" w:firstLine="0"/>
        <w:jc w:val="center"/>
        <w:rPr>
          <w:b/>
          <w:i/>
        </w:rPr>
      </w:pPr>
    </w:p>
    <w:p w14:paraId="6C12AF0B" w14:textId="04D06885" w:rsidR="000C5B00" w:rsidRPr="009B7EC1" w:rsidRDefault="00146A3B" w:rsidP="009B7EC1">
      <w:pPr>
        <w:pStyle w:val="Titre3"/>
        <w:jc w:val="both"/>
        <w:rPr>
          <w:b w:val="0"/>
          <w:bCs w:val="0"/>
          <w:i/>
          <w:sz w:val="28"/>
          <w:szCs w:val="28"/>
        </w:rPr>
      </w:pPr>
      <w:r w:rsidRPr="009B7EC1">
        <w:rPr>
          <w:b w:val="0"/>
          <w:bCs w:val="0"/>
          <w:sz w:val="28"/>
          <w:szCs w:val="28"/>
        </w:rPr>
        <w:t>Par sa décision n°</w:t>
      </w:r>
      <w:r w:rsidR="00DA5356" w:rsidRPr="009B7EC1">
        <w:rPr>
          <w:b w:val="0"/>
          <w:bCs w:val="0"/>
          <w:sz w:val="28"/>
          <w:szCs w:val="28"/>
        </w:rPr>
        <w:t> </w:t>
      </w:r>
      <w:r w:rsidR="00F451D7" w:rsidRPr="009B7EC1">
        <w:rPr>
          <w:b w:val="0"/>
          <w:bCs w:val="0"/>
          <w:sz w:val="28"/>
          <w:szCs w:val="28"/>
        </w:rPr>
        <w:t>20</w:t>
      </w:r>
      <w:r w:rsidR="00EF2509" w:rsidRPr="009B7EC1">
        <w:rPr>
          <w:b w:val="0"/>
          <w:bCs w:val="0"/>
          <w:sz w:val="28"/>
          <w:szCs w:val="28"/>
        </w:rPr>
        <w:t>2</w:t>
      </w:r>
      <w:r w:rsidR="00B01DB2" w:rsidRPr="009B7EC1">
        <w:rPr>
          <w:b w:val="0"/>
          <w:bCs w:val="0"/>
          <w:sz w:val="28"/>
          <w:szCs w:val="28"/>
        </w:rPr>
        <w:t>3</w:t>
      </w:r>
      <w:r w:rsidR="00EF2509" w:rsidRPr="009B7EC1">
        <w:rPr>
          <w:b w:val="0"/>
          <w:bCs w:val="0"/>
          <w:sz w:val="28"/>
          <w:szCs w:val="28"/>
        </w:rPr>
        <w:t>-</w:t>
      </w:r>
      <w:r w:rsidR="009B7EC1" w:rsidRPr="009B7EC1">
        <w:rPr>
          <w:b w:val="0"/>
          <w:bCs w:val="0"/>
          <w:sz w:val="28"/>
          <w:szCs w:val="28"/>
        </w:rPr>
        <w:t>5</w:t>
      </w:r>
      <w:r w:rsidR="00464CEA" w:rsidRPr="009B7EC1">
        <w:rPr>
          <w:b w:val="0"/>
          <w:bCs w:val="0"/>
          <w:sz w:val="28"/>
          <w:szCs w:val="28"/>
        </w:rPr>
        <w:t xml:space="preserve"> </w:t>
      </w:r>
      <w:r w:rsidR="00EF2509" w:rsidRPr="009B7EC1">
        <w:rPr>
          <w:b w:val="0"/>
          <w:bCs w:val="0"/>
          <w:sz w:val="28"/>
          <w:szCs w:val="28"/>
        </w:rPr>
        <w:t xml:space="preserve">RIP du </w:t>
      </w:r>
      <w:r w:rsidR="00173F4D">
        <w:rPr>
          <w:b w:val="0"/>
          <w:bCs w:val="0"/>
          <w:sz w:val="28"/>
          <w:szCs w:val="28"/>
        </w:rPr>
        <w:t>3</w:t>
      </w:r>
      <w:r w:rsidR="00173F4D" w:rsidRPr="009B7EC1">
        <w:rPr>
          <w:b w:val="0"/>
          <w:bCs w:val="0"/>
          <w:sz w:val="28"/>
          <w:szCs w:val="28"/>
        </w:rPr>
        <w:t xml:space="preserve"> </w:t>
      </w:r>
      <w:r w:rsidR="009B7EC1" w:rsidRPr="009B7EC1">
        <w:rPr>
          <w:b w:val="0"/>
          <w:bCs w:val="0"/>
          <w:sz w:val="28"/>
          <w:szCs w:val="28"/>
        </w:rPr>
        <w:t>mai</w:t>
      </w:r>
      <w:r w:rsidR="00B01DB2" w:rsidRPr="009B7EC1">
        <w:rPr>
          <w:b w:val="0"/>
          <w:bCs w:val="0"/>
          <w:sz w:val="28"/>
          <w:szCs w:val="28"/>
        </w:rPr>
        <w:t xml:space="preserve"> </w:t>
      </w:r>
      <w:r w:rsidR="00EF2509" w:rsidRPr="009B7EC1">
        <w:rPr>
          <w:b w:val="0"/>
          <w:bCs w:val="0"/>
          <w:sz w:val="28"/>
          <w:szCs w:val="28"/>
        </w:rPr>
        <w:t>202</w:t>
      </w:r>
      <w:r w:rsidR="00B01DB2" w:rsidRPr="009B7EC1">
        <w:rPr>
          <w:b w:val="0"/>
          <w:bCs w:val="0"/>
          <w:sz w:val="28"/>
          <w:szCs w:val="28"/>
        </w:rPr>
        <w:t>3</w:t>
      </w:r>
      <w:r w:rsidRPr="009B7EC1">
        <w:rPr>
          <w:b w:val="0"/>
          <w:bCs w:val="0"/>
          <w:sz w:val="28"/>
          <w:szCs w:val="28"/>
        </w:rPr>
        <w:t>, le Conseil constitutionnel s</w:t>
      </w:r>
      <w:r w:rsidR="00960450" w:rsidRPr="009B7EC1">
        <w:rPr>
          <w:b w:val="0"/>
          <w:bCs w:val="0"/>
          <w:sz w:val="28"/>
          <w:szCs w:val="28"/>
        </w:rPr>
        <w:t>’</w:t>
      </w:r>
      <w:r w:rsidR="000C5B00" w:rsidRPr="009B7EC1">
        <w:rPr>
          <w:b w:val="0"/>
          <w:bCs w:val="0"/>
          <w:sz w:val="28"/>
          <w:szCs w:val="28"/>
        </w:rPr>
        <w:t>est prononcé, en application du quatrième alinéa de l</w:t>
      </w:r>
      <w:r w:rsidR="00CF00E1">
        <w:rPr>
          <w:b w:val="0"/>
          <w:bCs w:val="0"/>
          <w:sz w:val="28"/>
          <w:szCs w:val="28"/>
        </w:rPr>
        <w:t>’</w:t>
      </w:r>
      <w:r w:rsidR="000C5B00" w:rsidRPr="009B7EC1">
        <w:rPr>
          <w:b w:val="0"/>
          <w:bCs w:val="0"/>
          <w:sz w:val="28"/>
          <w:szCs w:val="28"/>
        </w:rPr>
        <w:t>article 11 et du premier alinéa de l</w:t>
      </w:r>
      <w:r w:rsidR="00EC0B5B" w:rsidRPr="009B7EC1">
        <w:rPr>
          <w:b w:val="0"/>
          <w:bCs w:val="0"/>
          <w:sz w:val="28"/>
          <w:szCs w:val="28"/>
        </w:rPr>
        <w:t>’</w:t>
      </w:r>
      <w:r w:rsidR="000C5B00" w:rsidRPr="009B7EC1">
        <w:rPr>
          <w:b w:val="0"/>
          <w:bCs w:val="0"/>
          <w:sz w:val="28"/>
          <w:szCs w:val="28"/>
        </w:rPr>
        <w:t>article 61 de la Constitution, sur la proposition de loi</w:t>
      </w:r>
      <w:r w:rsidR="00B01DB2" w:rsidRPr="009B7EC1">
        <w:rPr>
          <w:b w:val="0"/>
          <w:bCs w:val="0"/>
          <w:sz w:val="28"/>
          <w:szCs w:val="28"/>
        </w:rPr>
        <w:t xml:space="preserve"> </w:t>
      </w:r>
      <w:r w:rsidR="00B01DB2" w:rsidRPr="009B7EC1">
        <w:rPr>
          <w:b w:val="0"/>
          <w:bCs w:val="0"/>
          <w:iCs/>
          <w:sz w:val="28"/>
          <w:szCs w:val="28"/>
        </w:rPr>
        <w:t>visant à</w:t>
      </w:r>
      <w:r w:rsidR="009B7EC1" w:rsidRPr="009B7EC1">
        <w:rPr>
          <w:b w:val="0"/>
          <w:bCs w:val="0"/>
          <w:iCs/>
          <w:sz w:val="28"/>
          <w:szCs w:val="28"/>
        </w:rPr>
        <w:t xml:space="preserve"> interdire un âge légal de départ à la retraite supérieur à 62 ans</w:t>
      </w:r>
      <w:r w:rsidR="00EF2509" w:rsidRPr="009B7EC1">
        <w:rPr>
          <w:b w:val="0"/>
          <w:bCs w:val="0"/>
          <w:iCs/>
          <w:sz w:val="28"/>
          <w:szCs w:val="28"/>
        </w:rPr>
        <w:t>,</w:t>
      </w:r>
      <w:r w:rsidR="00EF2509" w:rsidRPr="009B7EC1">
        <w:rPr>
          <w:b w:val="0"/>
          <w:bCs w:val="0"/>
          <w:sz w:val="28"/>
          <w:szCs w:val="28"/>
        </w:rPr>
        <w:t xml:space="preserve"> dont il avait été saisi le </w:t>
      </w:r>
      <w:r w:rsidR="009B7EC1">
        <w:rPr>
          <w:b w:val="0"/>
          <w:bCs w:val="0"/>
          <w:sz w:val="28"/>
          <w:szCs w:val="28"/>
        </w:rPr>
        <w:t xml:space="preserve">13 avril </w:t>
      </w:r>
      <w:r w:rsidR="00EF2509" w:rsidRPr="009B7EC1">
        <w:rPr>
          <w:b w:val="0"/>
          <w:bCs w:val="0"/>
          <w:sz w:val="28"/>
          <w:szCs w:val="28"/>
        </w:rPr>
        <w:t>202</w:t>
      </w:r>
      <w:r w:rsidR="00B01DB2" w:rsidRPr="009B7EC1">
        <w:rPr>
          <w:b w:val="0"/>
          <w:bCs w:val="0"/>
          <w:sz w:val="28"/>
          <w:szCs w:val="28"/>
        </w:rPr>
        <w:t>3</w:t>
      </w:r>
      <w:r w:rsidR="000C5B00" w:rsidRPr="009B7EC1">
        <w:rPr>
          <w:b w:val="0"/>
          <w:bCs w:val="0"/>
          <w:sz w:val="28"/>
          <w:szCs w:val="28"/>
        </w:rPr>
        <w:t>,</w:t>
      </w:r>
      <w:r w:rsidR="00EF2509" w:rsidRPr="009B7EC1">
        <w:rPr>
          <w:b w:val="0"/>
          <w:bCs w:val="0"/>
          <w:sz w:val="28"/>
          <w:szCs w:val="28"/>
        </w:rPr>
        <w:t xml:space="preserve"> et qui avait été signée par 2</w:t>
      </w:r>
      <w:r w:rsidR="00B01DB2" w:rsidRPr="009B7EC1">
        <w:rPr>
          <w:b w:val="0"/>
          <w:bCs w:val="0"/>
          <w:sz w:val="28"/>
          <w:szCs w:val="28"/>
        </w:rPr>
        <w:t>5</w:t>
      </w:r>
      <w:r w:rsidR="009B7EC1">
        <w:rPr>
          <w:b w:val="0"/>
          <w:bCs w:val="0"/>
          <w:sz w:val="28"/>
          <w:szCs w:val="28"/>
        </w:rPr>
        <w:t>3</w:t>
      </w:r>
      <w:r w:rsidR="000C5B00" w:rsidRPr="009B7EC1">
        <w:rPr>
          <w:b w:val="0"/>
          <w:bCs w:val="0"/>
          <w:sz w:val="28"/>
          <w:szCs w:val="28"/>
        </w:rPr>
        <w:t xml:space="preserve"> députés et sénateurs.</w:t>
      </w:r>
    </w:p>
    <w:p w14:paraId="23D237A1" w14:textId="77777777" w:rsidR="00667625" w:rsidRDefault="00667625" w:rsidP="00667625">
      <w:pPr>
        <w:pStyle w:val="TexteCC"/>
        <w:ind w:left="0" w:firstLine="0"/>
      </w:pPr>
      <w:r>
        <w:t>*</w:t>
      </w:r>
      <w:r w:rsidR="007C5C87">
        <w:t> </w:t>
      </w:r>
      <w:r w:rsidRPr="006F4F11">
        <w:rPr>
          <w:u w:val="single"/>
        </w:rPr>
        <w:t xml:space="preserve">Cette proposition de loi </w:t>
      </w:r>
      <w:r>
        <w:rPr>
          <w:u w:val="single"/>
        </w:rPr>
        <w:t xml:space="preserve">est la </w:t>
      </w:r>
      <w:r w:rsidR="009B7EC1">
        <w:rPr>
          <w:u w:val="single"/>
        </w:rPr>
        <w:t xml:space="preserve">cinquième </w:t>
      </w:r>
      <w:r w:rsidRPr="006F4F11">
        <w:rPr>
          <w:u w:val="single"/>
        </w:rPr>
        <w:t xml:space="preserve">à avoir été soumise au Conseil constitutionnel </w:t>
      </w:r>
      <w:r w:rsidR="00226CE1">
        <w:rPr>
          <w:u w:val="single"/>
        </w:rPr>
        <w:t>dans le cadre</w:t>
      </w:r>
      <w:r w:rsidRPr="006F4F11">
        <w:rPr>
          <w:u w:val="single"/>
        </w:rPr>
        <w:t xml:space="preserve"> de la procédure dite du </w:t>
      </w:r>
      <w:r w:rsidRPr="00EA2880">
        <w:rPr>
          <w:i/>
          <w:u w:val="single"/>
        </w:rPr>
        <w:t>« référendum d’initiative partagée »</w:t>
      </w:r>
      <w:r>
        <w:t xml:space="preserve">, instituée par la loi constitutionnelle du 23 juillet 2008. Cette procédure </w:t>
      </w:r>
      <w:r w:rsidRPr="00841357">
        <w:t>est régie par les troisième à sixième alinéas de l</w:t>
      </w:r>
      <w:r>
        <w:t>’</w:t>
      </w:r>
      <w:r w:rsidRPr="00841357">
        <w:t>article 11 de la Constitution et précisée par la loi organique n°</w:t>
      </w:r>
      <w:r>
        <w:t> </w:t>
      </w:r>
      <w:r w:rsidRPr="00841357">
        <w:t>2013-1114 du 6</w:t>
      </w:r>
      <w:r>
        <w:t> </w:t>
      </w:r>
      <w:r w:rsidRPr="00841357">
        <w:t>décembre 2013 portant application de l</w:t>
      </w:r>
      <w:r>
        <w:t>’</w:t>
      </w:r>
      <w:r w:rsidRPr="00841357">
        <w:t>article 11 de la Constitution</w:t>
      </w:r>
      <w:r>
        <w:t>.</w:t>
      </w:r>
      <w:r w:rsidRPr="00B65BDD">
        <w:t xml:space="preserve"> </w:t>
      </w:r>
    </w:p>
    <w:p w14:paraId="52ACCE10" w14:textId="77777777" w:rsidR="00173F4D" w:rsidRDefault="00667625" w:rsidP="00667625">
      <w:pPr>
        <w:pStyle w:val="TexteCC"/>
        <w:ind w:left="0" w:firstLine="0"/>
      </w:pPr>
      <w:r>
        <w:t xml:space="preserve">Ainsi que le Conseil constitutionnel l’a jugé par </w:t>
      </w:r>
      <w:r w:rsidR="003A6081">
        <w:t xml:space="preserve">sa </w:t>
      </w:r>
      <w:r>
        <w:t>décision n° 2013-681 DC du 5 décembre 2013 relative à cette loi organique, le constituant a entendu, par cette procédure, rendre possible, à l’initiative d’un cinquième des membres du Parlement, l’organisation d’un référendum sur une proposition de loi soutenue par un dixième des électeurs. Il a ainsi réservé aux membres du Parlement le pouvoir d’initiative d’une telle proposition de loi</w:t>
      </w:r>
      <w:r w:rsidR="00737773">
        <w:t xml:space="preserve"> et</w:t>
      </w:r>
      <w:r>
        <w:t xml:space="preserve"> reconnu à tous les électeurs inscrits sur les listes électorales le droit d’apporter </w:t>
      </w:r>
      <w:r w:rsidR="00737773">
        <w:t xml:space="preserve">ensuite </w:t>
      </w:r>
      <w:r>
        <w:t xml:space="preserve">leur soutien à cette proposition. </w:t>
      </w:r>
    </w:p>
    <w:p w14:paraId="4A6A2CF4" w14:textId="4A46576F" w:rsidR="00667625" w:rsidRDefault="00173F4D" w:rsidP="00667625">
      <w:pPr>
        <w:pStyle w:val="TexteCC"/>
        <w:ind w:left="0" w:firstLine="0"/>
      </w:pPr>
      <w:r>
        <w:t>Dans le cas où cette proposition recueille le soutien d’un dixième de ces électeurs, l</w:t>
      </w:r>
      <w:r w:rsidR="00737773">
        <w:t xml:space="preserve">e constituant </w:t>
      </w:r>
      <w:r w:rsidR="00667625">
        <w:t>a</w:t>
      </w:r>
      <w:r w:rsidR="00737773">
        <w:t xml:space="preserve"> enfin</w:t>
      </w:r>
      <w:r w:rsidR="00667625">
        <w:t xml:space="preserve"> entendu que le Président de la République soumette au </w:t>
      </w:r>
      <w:r w:rsidR="00667625">
        <w:lastRenderedPageBreak/>
        <w:t>référendum la proposition de loi si elle n’a pas été examinée par l’Assemblée nationale et le Sénat dans un délai fixé à six mois par la loi organique.</w:t>
      </w:r>
    </w:p>
    <w:p w14:paraId="664B711E" w14:textId="77777777" w:rsidR="00667625" w:rsidRDefault="00737773" w:rsidP="00667625">
      <w:pPr>
        <w:pStyle w:val="TexteCC"/>
        <w:ind w:left="0" w:firstLine="0"/>
      </w:pPr>
      <w:r>
        <w:t>Dans le cadre ainsi défini</w:t>
      </w:r>
      <w:r w:rsidR="00667625">
        <w:t xml:space="preserve">, le constituant a </w:t>
      </w:r>
      <w:r>
        <w:t>confié au Conseil constitutionnel la mission</w:t>
      </w:r>
      <w:r w:rsidR="00667625">
        <w:t xml:space="preserve">, d’une part, </w:t>
      </w:r>
      <w:r>
        <w:t>d</w:t>
      </w:r>
      <w:r w:rsidR="00667625">
        <w:t>e contrôle</w:t>
      </w:r>
      <w:r>
        <w:t>r</w:t>
      </w:r>
      <w:r w:rsidR="00667625">
        <w:t xml:space="preserve"> la conformité à la Constitution de la proposition de loi et, d’autre part, </w:t>
      </w:r>
      <w:r w:rsidR="000C7AF7">
        <w:t xml:space="preserve">de </w:t>
      </w:r>
      <w:r w:rsidR="00667625">
        <w:t>veille</w:t>
      </w:r>
      <w:r>
        <w:t>r</w:t>
      </w:r>
      <w:r w:rsidR="00667625">
        <w:t xml:space="preserve"> au respect des conditions prévues par le troisième alinéa de l’article 11 de la Constitution pour l’organisation d’un tel référendum.</w:t>
      </w:r>
    </w:p>
    <w:p w14:paraId="773F7BFD" w14:textId="77777777" w:rsidR="00667625" w:rsidRPr="006F4F11" w:rsidRDefault="00667625" w:rsidP="00667625">
      <w:pPr>
        <w:pStyle w:val="Citationdarticles"/>
        <w:ind w:left="0" w:firstLine="0"/>
      </w:pPr>
      <w:r>
        <w:t xml:space="preserve">Il appartenait </w:t>
      </w:r>
      <w:r w:rsidR="002F3883">
        <w:t xml:space="preserve">donc </w:t>
      </w:r>
      <w:r>
        <w:t>au Conseil constitutionnel, suivant les termes de l’article 45-2 de l’ordonnance n° </w:t>
      </w:r>
      <w:r w:rsidRPr="00BC6773">
        <w:t>58-1067 du 7 novembre 1958 portant loi organique sur le Conseil constitutionnel</w:t>
      </w:r>
      <w:r>
        <w:t>, de vérifier</w:t>
      </w:r>
      <w:r w:rsidR="00EC0B5B">
        <w:t>,</w:t>
      </w:r>
      <w:r>
        <w:t xml:space="preserve"> en premier lieu</w:t>
      </w:r>
      <w:r w:rsidR="00EC0B5B">
        <w:t>,</w:t>
      </w:r>
      <w:r>
        <w:t xml:space="preserve"> q</w:t>
      </w:r>
      <w:r w:rsidRPr="006F4F11">
        <w:t xml:space="preserve">ue la proposition de loi </w:t>
      </w:r>
      <w:r w:rsidR="002F3883">
        <w:t>a été</w:t>
      </w:r>
      <w:r w:rsidR="002F3883" w:rsidRPr="006F4F11">
        <w:t xml:space="preserve"> </w:t>
      </w:r>
      <w:r w:rsidRPr="006F4F11">
        <w:t>présentée par au moins un cinquième des membres du Parlement</w:t>
      </w:r>
      <w:r>
        <w:t>, en deuxième lieu</w:t>
      </w:r>
      <w:r w:rsidR="00EC0B5B">
        <w:t>,</w:t>
      </w:r>
      <w:r>
        <w:t xml:space="preserve"> q</w:t>
      </w:r>
      <w:r w:rsidRPr="006F4F11">
        <w:t>ue son objet respecte les conditions posées aux troisième et sixième alinéas de l</w:t>
      </w:r>
      <w:r>
        <w:t>’</w:t>
      </w:r>
      <w:r w:rsidRPr="006F4F11">
        <w:t>article 11 de la Constitution et</w:t>
      </w:r>
      <w:r>
        <w:t xml:space="preserve">, </w:t>
      </w:r>
      <w:r w:rsidR="002F3883">
        <w:t>si ces conditions étaient satisfaites</w:t>
      </w:r>
      <w:r>
        <w:t xml:space="preserve">, </w:t>
      </w:r>
      <w:r w:rsidRPr="006F4F11">
        <w:t>qu</w:t>
      </w:r>
      <w:r>
        <w:t>’</w:t>
      </w:r>
      <w:r w:rsidRPr="006F4F11">
        <w:t>aucune disposition de la proposition de loi n</w:t>
      </w:r>
      <w:r>
        <w:t>’</w:t>
      </w:r>
      <w:r w:rsidRPr="006F4F11">
        <w:t>est contraire à la Constitution.</w:t>
      </w:r>
    </w:p>
    <w:p w14:paraId="59848EEC" w14:textId="77777777" w:rsidR="00667625" w:rsidRDefault="00667625" w:rsidP="00667625">
      <w:pPr>
        <w:pStyle w:val="TexteCC"/>
        <w:ind w:left="0" w:firstLine="0"/>
      </w:pPr>
      <w:r>
        <w:t xml:space="preserve">* </w:t>
      </w:r>
      <w:r w:rsidRPr="007041A9">
        <w:rPr>
          <w:u w:val="single"/>
        </w:rPr>
        <w:t xml:space="preserve">Par sa décision de ce jour, le Conseil constitutionnel a vérifié </w:t>
      </w:r>
      <w:r>
        <w:rPr>
          <w:u w:val="single"/>
        </w:rPr>
        <w:t>le respect de c</w:t>
      </w:r>
      <w:r w:rsidRPr="007041A9">
        <w:rPr>
          <w:u w:val="single"/>
        </w:rPr>
        <w:t>es exigences constitutionnelles et organiques</w:t>
      </w:r>
      <w:r>
        <w:t>.</w:t>
      </w:r>
    </w:p>
    <w:p w14:paraId="4D6BD0DF" w14:textId="7F4A250B" w:rsidR="002F3883" w:rsidRDefault="002F3883" w:rsidP="00B01DB2">
      <w:pPr>
        <w:pStyle w:val="Considrants"/>
        <w:numPr>
          <w:ilvl w:val="0"/>
          <w:numId w:val="0"/>
        </w:numPr>
      </w:pPr>
      <w:r>
        <w:rPr>
          <w:rStyle w:val="policepardfaut0"/>
        </w:rPr>
        <w:t>En premier lieu, le Conseil a constaté que la proposition de loi a été présentée par plus d</w:t>
      </w:r>
      <w:r w:rsidR="00CF00E1">
        <w:rPr>
          <w:rStyle w:val="policepardfaut0"/>
        </w:rPr>
        <w:t>’</w:t>
      </w:r>
      <w:r>
        <w:rPr>
          <w:rStyle w:val="policepardfaut0"/>
        </w:rPr>
        <w:t>un cinquième des membres du Parlement à la date d</w:t>
      </w:r>
      <w:r w:rsidR="00CF00E1">
        <w:rPr>
          <w:rStyle w:val="policepardfaut0"/>
        </w:rPr>
        <w:t>’</w:t>
      </w:r>
      <w:r>
        <w:rPr>
          <w:rStyle w:val="policepardfaut0"/>
        </w:rPr>
        <w:t xml:space="preserve">enregistrement de </w:t>
      </w:r>
      <w:r w:rsidR="00226CE1">
        <w:rPr>
          <w:rStyle w:val="policepardfaut0"/>
        </w:rPr>
        <w:t>s</w:t>
      </w:r>
      <w:r>
        <w:rPr>
          <w:rStyle w:val="policepardfaut0"/>
        </w:rPr>
        <w:t>a saisine.</w:t>
      </w:r>
      <w:r w:rsidRPr="00B01DB2">
        <w:t xml:space="preserve"> </w:t>
      </w:r>
    </w:p>
    <w:p w14:paraId="3C38CC62" w14:textId="7F5BD1BA" w:rsidR="002F3883" w:rsidRDefault="002F3883" w:rsidP="00B01DB2">
      <w:pPr>
        <w:pStyle w:val="Considrants"/>
        <w:numPr>
          <w:ilvl w:val="0"/>
          <w:numId w:val="0"/>
        </w:numPr>
      </w:pPr>
      <w:r>
        <w:t xml:space="preserve">En second lieu, </w:t>
      </w:r>
      <w:r w:rsidR="00B36879">
        <w:rPr>
          <w:lang w:eastAsia="fr-FR"/>
        </w:rPr>
        <w:t xml:space="preserve">il </w:t>
      </w:r>
      <w:r w:rsidR="00226CE1">
        <w:rPr>
          <w:lang w:eastAsia="fr-FR"/>
        </w:rPr>
        <w:t>a examiné si</w:t>
      </w:r>
      <w:r w:rsidR="00B36879">
        <w:rPr>
          <w:lang w:eastAsia="fr-FR"/>
        </w:rPr>
        <w:t xml:space="preserve">, à </w:t>
      </w:r>
      <w:r w:rsidR="00226CE1">
        <w:rPr>
          <w:lang w:eastAsia="fr-FR"/>
        </w:rPr>
        <w:t>cette même date</w:t>
      </w:r>
      <w:r w:rsidR="00B36879">
        <w:rPr>
          <w:lang w:eastAsia="fr-FR"/>
        </w:rPr>
        <w:t xml:space="preserve">, </w:t>
      </w:r>
      <w:r w:rsidR="00B36879">
        <w:t>l’objet de la proposition de loi respect</w:t>
      </w:r>
      <w:r w:rsidR="00226CE1">
        <w:t xml:space="preserve">ait </w:t>
      </w:r>
      <w:r w:rsidR="00B36879">
        <w:t xml:space="preserve">les conditions posées aux troisième et sixième alinéas de l’article 11 de la Constitution. </w:t>
      </w:r>
      <w:r>
        <w:t xml:space="preserve">Comme le rappelle la décision, </w:t>
      </w:r>
      <w:r w:rsidR="00B36879">
        <w:t>le troisième alinéa de l’article 11</w:t>
      </w:r>
      <w:r>
        <w:t xml:space="preserve"> </w:t>
      </w:r>
      <w:r w:rsidR="00B36879">
        <w:t xml:space="preserve">de la Constitution </w:t>
      </w:r>
      <w:r w:rsidR="00CF00E1">
        <w:t xml:space="preserve">renvoie à </w:t>
      </w:r>
      <w:r w:rsidR="00CF00E1" w:rsidRPr="00EA2880">
        <w:rPr>
          <w:i/>
        </w:rPr>
        <w:t>« l’objet mentionné au premier alinéa »</w:t>
      </w:r>
      <w:r w:rsidR="00CF00E1">
        <w:t xml:space="preserve"> de ce même article qui </w:t>
      </w:r>
      <w:r>
        <w:t>prévoit</w:t>
      </w:r>
      <w:r w:rsidR="00B36879">
        <w:t xml:space="preserve"> </w:t>
      </w:r>
      <w:r>
        <w:t xml:space="preserve">que </w:t>
      </w:r>
      <w:r w:rsidRPr="00A914C9">
        <w:rPr>
          <w:i/>
        </w:rPr>
        <w:t>«</w:t>
      </w:r>
      <w:r>
        <w:t> </w:t>
      </w:r>
      <w:r w:rsidRPr="002C6DEF">
        <w:rPr>
          <w:i/>
        </w:rPr>
        <w:t xml:space="preserve">Le Président de la République, sur proposition du Gouvernement pendant la durée des sessions ou sur proposition conjointe des deux assemblées, publiées au </w:t>
      </w:r>
      <w:r w:rsidRPr="0098481D">
        <w:t>Journal officiel</w:t>
      </w:r>
      <w:r w:rsidRPr="002C6DEF">
        <w:rPr>
          <w:i/>
        </w:rPr>
        <w:t>, peut soumettre au référendum tout projet de loi portant sur l</w:t>
      </w:r>
      <w:r>
        <w:rPr>
          <w:i/>
        </w:rPr>
        <w:t>’</w:t>
      </w:r>
      <w:r w:rsidRPr="002C6DEF">
        <w:rPr>
          <w:i/>
        </w:rPr>
        <w:t>organisation des pouvoirs publics, sur des réformes relatives à la politique économique, sociale ou environnementale de la nation et aux services publics qui y concourent, ou tendant à autoriser la ratification d</w:t>
      </w:r>
      <w:r>
        <w:rPr>
          <w:i/>
        </w:rPr>
        <w:t>’</w:t>
      </w:r>
      <w:r w:rsidRPr="002C6DEF">
        <w:rPr>
          <w:i/>
        </w:rPr>
        <w:t>un traité qui, sans être contraire à la Constitution, aurait des incidences sur le fonctionnement des institutions</w:t>
      </w:r>
      <w:r>
        <w:rPr>
          <w:i/>
        </w:rPr>
        <w:t> »</w:t>
      </w:r>
      <w:r w:rsidRPr="002C6DEF">
        <w:rPr>
          <w:i/>
        </w:rPr>
        <w:t>.</w:t>
      </w:r>
    </w:p>
    <w:p w14:paraId="6A05AF7B" w14:textId="77777777" w:rsidR="00B01DB2" w:rsidRPr="00B01DB2" w:rsidRDefault="003A6081" w:rsidP="00B01DB2">
      <w:pPr>
        <w:pStyle w:val="Considrants"/>
        <w:numPr>
          <w:ilvl w:val="0"/>
          <w:numId w:val="0"/>
        </w:numPr>
      </w:pPr>
      <w:r w:rsidRPr="00B01DB2">
        <w:t>À</w:t>
      </w:r>
      <w:r w:rsidR="00EF2509" w:rsidRPr="00B01DB2">
        <w:t xml:space="preserve"> cette aune</w:t>
      </w:r>
      <w:r w:rsidR="00667625" w:rsidRPr="00B01DB2">
        <w:t xml:space="preserve">, </w:t>
      </w:r>
      <w:r w:rsidR="00B01DB2" w:rsidRPr="00B01DB2">
        <w:t xml:space="preserve">le Conseil constitutionnel avait déjà eu à se prononcer sur ce qu’est une « réforme » au sens de l’article 11 de la Constitution, à la lumière des travaux préparatoires de la loi constitutionnelle du 4 août 1995 qui est </w:t>
      </w:r>
      <w:r w:rsidR="00B01DB2" w:rsidRPr="00B01DB2">
        <w:rPr>
          <w:bCs/>
        </w:rPr>
        <w:t xml:space="preserve">à l’origine de l’extension du champ de l’article 11 aux </w:t>
      </w:r>
      <w:r w:rsidR="00B01DB2" w:rsidRPr="00B01DB2">
        <w:rPr>
          <w:bCs/>
          <w:i/>
          <w:iCs/>
        </w:rPr>
        <w:t>« réformes relatives à la politique économique ou sociale de la nation et aux services public qui y concourent »</w:t>
      </w:r>
      <w:r w:rsidR="00B01DB2" w:rsidRPr="00B01DB2">
        <w:rPr>
          <w:i/>
          <w:iCs/>
        </w:rPr>
        <w:t xml:space="preserve">. </w:t>
      </w:r>
      <w:r w:rsidR="00B01DB2" w:rsidRPr="00B01DB2">
        <w:t>Il a</w:t>
      </w:r>
      <w:r w:rsidR="00B01DB2">
        <w:t>vait ainsi</w:t>
      </w:r>
      <w:r w:rsidR="00B01DB2" w:rsidRPr="00B01DB2">
        <w:t xml:space="preserve"> considéré</w:t>
      </w:r>
      <w:r w:rsidR="00226CE1">
        <w:t>,</w:t>
      </w:r>
      <w:r w:rsidR="00B01DB2" w:rsidRPr="00B01DB2">
        <w:t xml:space="preserve"> </w:t>
      </w:r>
      <w:r w:rsidR="00B36879">
        <w:t xml:space="preserve">dans </w:t>
      </w:r>
      <w:r w:rsidR="00226CE1">
        <w:t>sa</w:t>
      </w:r>
      <w:r w:rsidR="00B36879">
        <w:t xml:space="preserve"> décision</w:t>
      </w:r>
      <w:r w:rsidR="00173F4D">
        <w:t xml:space="preserve"> n° 2019-1 RIP</w:t>
      </w:r>
      <w:r w:rsidR="00B36879">
        <w:t xml:space="preserve"> du 9</w:t>
      </w:r>
      <w:r w:rsidR="00B36879" w:rsidRPr="00B01DB2">
        <w:t xml:space="preserve"> </w:t>
      </w:r>
      <w:r w:rsidR="00B01DB2" w:rsidRPr="00B01DB2">
        <w:t>mai 2019</w:t>
      </w:r>
      <w:r w:rsidR="00226CE1">
        <w:t>,</w:t>
      </w:r>
      <w:r w:rsidR="00B01DB2" w:rsidRPr="00B01DB2">
        <w:t xml:space="preserve"> que constituait une</w:t>
      </w:r>
      <w:r w:rsidR="00226CE1">
        <w:t xml:space="preserve"> </w:t>
      </w:r>
      <w:r w:rsidR="00B01DB2" w:rsidRPr="00B01DB2">
        <w:t>réforme</w:t>
      </w:r>
      <w:r w:rsidR="00226CE1">
        <w:t xml:space="preserve"> </w:t>
      </w:r>
      <w:r w:rsidR="00B01DB2" w:rsidRPr="00B01DB2">
        <w:t xml:space="preserve">de la politique économique de la nation une proposition </w:t>
      </w:r>
      <w:r w:rsidR="00B01DB2" w:rsidRPr="00B01DB2">
        <w:lastRenderedPageBreak/>
        <w:t xml:space="preserve">qui visait à ériger en service public national l’exploitation d’Aéroports de Paris. En revanche, </w:t>
      </w:r>
      <w:r w:rsidR="00B36879">
        <w:t>dans sa décision</w:t>
      </w:r>
      <w:r w:rsidR="00173F4D">
        <w:t xml:space="preserve"> n° 2022-3 RIP</w:t>
      </w:r>
      <w:r w:rsidR="00B36879">
        <w:t xml:space="preserve"> du 25 </w:t>
      </w:r>
      <w:r w:rsidR="00B01DB2" w:rsidRPr="00B01DB2">
        <w:t>octobre 2022, il a</w:t>
      </w:r>
      <w:r w:rsidR="00B01DB2">
        <w:t>vait</w:t>
      </w:r>
      <w:r w:rsidR="00B01DB2" w:rsidRPr="00B01DB2">
        <w:t xml:space="preserve"> jugé que ne </w:t>
      </w:r>
      <w:r w:rsidR="008B6EDC">
        <w:t xml:space="preserve">présentait pas ce caractère </w:t>
      </w:r>
      <w:r w:rsidR="00B01DB2" w:rsidRPr="00B01DB2">
        <w:t xml:space="preserve">une proposition qui visait </w:t>
      </w:r>
      <w:r w:rsidR="00B36879">
        <w:t xml:space="preserve">uniquement </w:t>
      </w:r>
      <w:r w:rsidR="00B01DB2" w:rsidRPr="00B01DB2">
        <w:t>à abonder le budget de l’</w:t>
      </w:r>
      <w:r w:rsidR="00226CE1">
        <w:t>É</w:t>
      </w:r>
      <w:r w:rsidR="00B01DB2" w:rsidRPr="00B01DB2">
        <w:t>tat en augment</w:t>
      </w:r>
      <w:r w:rsidR="00B36879">
        <w:t>ant</w:t>
      </w:r>
      <w:r w:rsidR="00B01DB2" w:rsidRPr="00B01DB2">
        <w:t xml:space="preserve"> le niveau de l’imposition existante des bénéfices de certaines sociétés. </w:t>
      </w:r>
      <w:r w:rsidR="009B7EC1">
        <w:t>Par sa décision n°</w:t>
      </w:r>
      <w:r w:rsidR="00173F4D">
        <w:t> </w:t>
      </w:r>
      <w:r w:rsidR="009B7EC1">
        <w:t>2023-4 RIP du 14 avril 2023, il avait jugé qu’il en allait de même de la proposition de loi visant à affirmer que l’âge légal de départ à la retraite ne peut être fixé au-delà de 62 ans.</w:t>
      </w:r>
    </w:p>
    <w:p w14:paraId="7729E064" w14:textId="77777777" w:rsidR="009B7EC1" w:rsidRDefault="00B01DB2" w:rsidP="00EF2509">
      <w:pPr>
        <w:pStyle w:val="Considrants"/>
        <w:numPr>
          <w:ilvl w:val="0"/>
          <w:numId w:val="0"/>
        </w:numPr>
        <w:rPr>
          <w:lang w:eastAsia="fr-FR"/>
        </w:rPr>
      </w:pPr>
      <w:r>
        <w:rPr>
          <w:lang w:eastAsia="fr-FR"/>
        </w:rPr>
        <w:t xml:space="preserve">En l’espèce, le Conseil constitutionnel </w:t>
      </w:r>
      <w:r w:rsidR="00B36879">
        <w:rPr>
          <w:lang w:eastAsia="fr-FR"/>
        </w:rPr>
        <w:t xml:space="preserve">a constaté </w:t>
      </w:r>
      <w:r>
        <w:rPr>
          <w:lang w:eastAsia="fr-FR"/>
        </w:rPr>
        <w:t xml:space="preserve">que </w:t>
      </w:r>
      <w:r w:rsidR="009B7EC1">
        <w:rPr>
          <w:lang w:eastAsia="fr-FR"/>
        </w:rPr>
        <w:t>la proposition de loi qui lui était soumise avait pour objet de fixer l’âge légal de départ à la retraite et d’augmenter la contribution des revenus du capital au financement du système de retraite par répartition.</w:t>
      </w:r>
    </w:p>
    <w:p w14:paraId="1C924CF3" w14:textId="136D0E2B" w:rsidR="009B7EC1" w:rsidRPr="00251851" w:rsidRDefault="009B7EC1" w:rsidP="009B7EC1">
      <w:pPr>
        <w:pStyle w:val="Considrants"/>
        <w:numPr>
          <w:ilvl w:val="0"/>
          <w:numId w:val="0"/>
        </w:numPr>
        <w:rPr>
          <w:lang w:eastAsia="fr-FR"/>
        </w:rPr>
      </w:pPr>
      <w:r>
        <w:rPr>
          <w:lang w:eastAsia="fr-FR"/>
        </w:rPr>
        <w:t xml:space="preserve">- D’une part, par un raisonnement </w:t>
      </w:r>
      <w:r w:rsidR="00212116">
        <w:rPr>
          <w:lang w:eastAsia="fr-FR"/>
        </w:rPr>
        <w:t xml:space="preserve">identique </w:t>
      </w:r>
      <w:r>
        <w:rPr>
          <w:lang w:eastAsia="fr-FR"/>
        </w:rPr>
        <w:t>à celui de sa décision n°</w:t>
      </w:r>
      <w:r w:rsidR="00173F4D">
        <w:rPr>
          <w:lang w:eastAsia="fr-FR"/>
        </w:rPr>
        <w:t> </w:t>
      </w:r>
      <w:r>
        <w:rPr>
          <w:lang w:eastAsia="fr-FR"/>
        </w:rPr>
        <w:t>2023-4 RIP du 14 avril 2023, il a relevé que cette proposition de loi réécrit l’article L.</w:t>
      </w:r>
      <w:r w:rsidR="00CA181D">
        <w:rPr>
          <w:lang w:eastAsia="fr-FR"/>
        </w:rPr>
        <w:t> </w:t>
      </w:r>
      <w:r>
        <w:rPr>
          <w:lang w:eastAsia="fr-FR"/>
        </w:rPr>
        <w:t xml:space="preserve">161-17-2 du code de la sécurité sociale afin de prévoir que l’âge d’ouverture du droit à une pension de retraite mentionné </w:t>
      </w:r>
      <w:r w:rsidRPr="00251851">
        <w:t xml:space="preserve">au premier alinéa de l’article L. 351-1 du </w:t>
      </w:r>
      <w:r>
        <w:t xml:space="preserve">même </w:t>
      </w:r>
      <w:r w:rsidRPr="00251851">
        <w:t xml:space="preserve">code </w:t>
      </w:r>
      <w:r>
        <w:rPr>
          <w:lang w:eastAsia="fr-FR"/>
        </w:rPr>
        <w:t>applicable aux assurés du régime général, à l’article L.</w:t>
      </w:r>
      <w:r w:rsidR="00CA181D">
        <w:rPr>
          <w:lang w:eastAsia="fr-FR"/>
        </w:rPr>
        <w:t> </w:t>
      </w:r>
      <w:r>
        <w:rPr>
          <w:lang w:eastAsia="fr-FR"/>
        </w:rPr>
        <w:t>732-18 du code rural et de la pêche maritime applicable aux assurés du régime des personnes non salariées des professions agricoles, ainsi qu’au 1° du paragraphe I de l’article L.</w:t>
      </w:r>
      <w:r w:rsidR="00212116">
        <w:rPr>
          <w:lang w:eastAsia="fr-FR"/>
        </w:rPr>
        <w:t> </w:t>
      </w:r>
      <w:r>
        <w:rPr>
          <w:lang w:eastAsia="fr-FR"/>
        </w:rPr>
        <w:t>24 et au 1° de l’article L.</w:t>
      </w:r>
      <w:r w:rsidR="00CA181D">
        <w:rPr>
          <w:lang w:eastAsia="fr-FR"/>
        </w:rPr>
        <w:t> </w:t>
      </w:r>
      <w:r>
        <w:rPr>
          <w:lang w:eastAsia="fr-FR"/>
        </w:rPr>
        <w:t xml:space="preserve">25 du </w:t>
      </w:r>
      <w:r w:rsidRPr="0052418B">
        <w:rPr>
          <w:rFonts w:eastAsia="Times New Roman"/>
          <w:bCs/>
          <w:lang w:eastAsia="fr-FR"/>
        </w:rPr>
        <w:t>code des pensions civiles et militaires de retraite</w:t>
      </w:r>
      <w:r>
        <w:rPr>
          <w:rFonts w:eastAsia="Times New Roman"/>
          <w:bCs/>
          <w:lang w:eastAsia="fr-FR"/>
        </w:rPr>
        <w:t xml:space="preserve"> applicables aux fonctionnaires civils, ne peut être supérieur à soixante-deux ans.</w:t>
      </w:r>
    </w:p>
    <w:p w14:paraId="339EBA0E" w14:textId="77777777" w:rsidR="009B7EC1" w:rsidRDefault="009B7EC1" w:rsidP="009B7EC1">
      <w:pPr>
        <w:pStyle w:val="Considrants"/>
        <w:numPr>
          <w:ilvl w:val="0"/>
          <w:numId w:val="0"/>
        </w:numPr>
        <w:rPr>
          <w:lang w:eastAsia="fr-FR"/>
        </w:rPr>
      </w:pPr>
      <w:r w:rsidRPr="00585B95">
        <w:rPr>
          <w:rFonts w:eastAsia="Times New Roman"/>
          <w:bCs/>
          <w:lang w:eastAsia="fr-FR"/>
        </w:rPr>
        <w:t xml:space="preserve">Or, </w:t>
      </w:r>
      <w:r w:rsidRPr="00713DD6">
        <w:rPr>
          <w:lang w:eastAsia="fr-FR"/>
        </w:rPr>
        <w:t xml:space="preserve">à la date à laquelle le Conseil constitutionnel a été saisi de cette proposition de loi, </w:t>
      </w:r>
      <w:r w:rsidRPr="00585B95">
        <w:rPr>
          <w:rFonts w:eastAsia="Times New Roman"/>
          <w:bCs/>
          <w:lang w:eastAsia="fr-FR"/>
        </w:rPr>
        <w:t xml:space="preserve">l’article L. 161-17-2 du code de la sécurité sociale dispose déjà que l’âge d’ouverture du droit à une pension de retraite mentionné à ces mêmes dispositions est fixé à soixante-deux ans. </w:t>
      </w:r>
      <w:r>
        <w:rPr>
          <w:lang w:eastAsia="fr-FR"/>
        </w:rPr>
        <w:t>À</w:t>
      </w:r>
      <w:r w:rsidRPr="00F70689">
        <w:rPr>
          <w:lang w:eastAsia="fr-FR"/>
        </w:rPr>
        <w:t xml:space="preserve"> la date d’enregistrement de la saisine,</w:t>
      </w:r>
      <w:r>
        <w:rPr>
          <w:lang w:eastAsia="fr-FR"/>
        </w:rPr>
        <w:t xml:space="preserve"> l’interdiction</w:t>
      </w:r>
      <w:r w:rsidRPr="00EF14F5">
        <w:rPr>
          <w:lang w:eastAsia="fr-FR"/>
        </w:rPr>
        <w:t xml:space="preserve"> </w:t>
      </w:r>
      <w:r>
        <w:rPr>
          <w:lang w:eastAsia="fr-FR"/>
        </w:rPr>
        <w:t xml:space="preserve">de fixer </w:t>
      </w:r>
      <w:r w:rsidRPr="00620D1D">
        <w:rPr>
          <w:lang w:eastAsia="fr-FR"/>
        </w:rPr>
        <w:t xml:space="preserve">l’âge légal de départ à la retraite </w:t>
      </w:r>
      <w:r>
        <w:rPr>
          <w:lang w:eastAsia="fr-FR"/>
        </w:rPr>
        <w:t>au-delà de</w:t>
      </w:r>
      <w:r w:rsidRPr="00620D1D">
        <w:rPr>
          <w:lang w:eastAsia="fr-FR"/>
        </w:rPr>
        <w:t xml:space="preserve"> soixante-deux ans</w:t>
      </w:r>
      <w:r w:rsidRPr="00897BDA">
        <w:rPr>
          <w:lang w:eastAsia="fr-FR"/>
        </w:rPr>
        <w:t xml:space="preserve"> </w:t>
      </w:r>
      <w:r>
        <w:rPr>
          <w:lang w:eastAsia="fr-FR"/>
        </w:rPr>
        <w:t xml:space="preserve">n’emporte donc pas de changement de </w:t>
      </w:r>
      <w:r>
        <w:rPr>
          <w:rFonts w:eastAsia="Times New Roman"/>
          <w:bCs/>
          <w:lang w:eastAsia="fr-FR"/>
        </w:rPr>
        <w:t>l’état du droit.</w:t>
      </w:r>
      <w:r w:rsidRPr="004556FB">
        <w:rPr>
          <w:lang w:eastAsia="fr-FR"/>
        </w:rPr>
        <w:t xml:space="preserve"> </w:t>
      </w:r>
    </w:p>
    <w:p w14:paraId="6B547244" w14:textId="77777777" w:rsidR="009B7EC1" w:rsidRDefault="009B7EC1" w:rsidP="009B7EC1">
      <w:pPr>
        <w:pStyle w:val="Considrants"/>
        <w:numPr>
          <w:ilvl w:val="0"/>
          <w:numId w:val="0"/>
        </w:numPr>
        <w:rPr>
          <w:lang w:eastAsia="fr-FR"/>
        </w:rPr>
      </w:pPr>
      <w:r w:rsidRPr="004556FB">
        <w:rPr>
          <w:lang w:eastAsia="fr-FR"/>
        </w:rPr>
        <w:t>En outre, le législateur peu</w:t>
      </w:r>
      <w:r>
        <w:rPr>
          <w:lang w:eastAsia="fr-FR"/>
        </w:rPr>
        <w:t>t</w:t>
      </w:r>
      <w:r w:rsidRPr="004556FB">
        <w:rPr>
          <w:lang w:eastAsia="fr-FR"/>
        </w:rPr>
        <w:t xml:space="preserve"> toujours modifier, compléter ou abroger des dispositions législatives antérieures,</w:t>
      </w:r>
      <w:r>
        <w:rPr>
          <w:lang w:eastAsia="fr-FR"/>
        </w:rPr>
        <w:t xml:space="preserve"> qu’elles résultent d’</w:t>
      </w:r>
      <w:r w:rsidRPr="004556FB">
        <w:rPr>
          <w:lang w:eastAsia="fr-FR"/>
        </w:rPr>
        <w:t>une loi votée par le Parlement ou d</w:t>
      </w:r>
      <w:r>
        <w:rPr>
          <w:lang w:eastAsia="fr-FR"/>
        </w:rPr>
        <w:t>’</w:t>
      </w:r>
      <w:r w:rsidRPr="004556FB">
        <w:rPr>
          <w:lang w:eastAsia="fr-FR"/>
        </w:rPr>
        <w:t xml:space="preserve">une loi adoptée par voie de référendum. Ainsi, ni la circonstance que </w:t>
      </w:r>
      <w:r>
        <w:rPr>
          <w:lang w:eastAsia="fr-FR"/>
        </w:rPr>
        <w:t>les dispositions de cette proposition de loi seraient adoptées</w:t>
      </w:r>
      <w:r w:rsidRPr="004556FB">
        <w:rPr>
          <w:lang w:eastAsia="fr-FR"/>
        </w:rPr>
        <w:t xml:space="preserve"> par voie de référendum ni le fait </w:t>
      </w:r>
      <w:r>
        <w:rPr>
          <w:lang w:eastAsia="fr-FR"/>
        </w:rPr>
        <w:t>qu’elles fixer</w:t>
      </w:r>
      <w:r w:rsidRPr="004556FB">
        <w:rPr>
          <w:lang w:eastAsia="fr-FR"/>
        </w:rPr>
        <w:t xml:space="preserve">aient </w:t>
      </w:r>
      <w:r>
        <w:rPr>
          <w:lang w:eastAsia="fr-FR"/>
        </w:rPr>
        <w:t>un plafond contraignant</w:t>
      </w:r>
      <w:r w:rsidRPr="004556FB">
        <w:rPr>
          <w:lang w:eastAsia="fr-FR"/>
        </w:rPr>
        <w:t xml:space="preserve"> </w:t>
      </w:r>
      <w:r>
        <w:rPr>
          <w:lang w:eastAsia="fr-FR"/>
        </w:rPr>
        <w:t>pour le</w:t>
      </w:r>
      <w:r w:rsidRPr="004556FB">
        <w:rPr>
          <w:lang w:eastAsia="fr-FR"/>
        </w:rPr>
        <w:t xml:space="preserve"> législateur ne permett</w:t>
      </w:r>
      <w:r>
        <w:rPr>
          <w:lang w:eastAsia="fr-FR"/>
        </w:rPr>
        <w:t xml:space="preserve">ent davantage de considérer qu’elles </w:t>
      </w:r>
      <w:r w:rsidRPr="004556FB">
        <w:rPr>
          <w:lang w:eastAsia="fr-FR"/>
        </w:rPr>
        <w:t>apporte</w:t>
      </w:r>
      <w:r>
        <w:rPr>
          <w:lang w:eastAsia="fr-FR"/>
        </w:rPr>
        <w:t>nt</w:t>
      </w:r>
      <w:r w:rsidRPr="004556FB">
        <w:rPr>
          <w:lang w:eastAsia="fr-FR"/>
        </w:rPr>
        <w:t xml:space="preserve"> un changement de l’état du droit</w:t>
      </w:r>
      <w:r>
        <w:rPr>
          <w:lang w:eastAsia="fr-FR"/>
        </w:rPr>
        <w:t>.</w:t>
      </w:r>
      <w:r w:rsidRPr="00BF18CE">
        <w:rPr>
          <w:lang w:eastAsia="fr-FR"/>
        </w:rPr>
        <w:t xml:space="preserve"> </w:t>
      </w:r>
    </w:p>
    <w:p w14:paraId="21B089F9" w14:textId="1E74F3D4" w:rsidR="009B7EC1" w:rsidRDefault="009B7EC1" w:rsidP="009B7EC1">
      <w:pPr>
        <w:pStyle w:val="Considrants"/>
        <w:numPr>
          <w:ilvl w:val="0"/>
          <w:numId w:val="0"/>
        </w:numPr>
        <w:rPr>
          <w:lang w:eastAsia="fr-FR"/>
        </w:rPr>
      </w:pPr>
      <w:r>
        <w:rPr>
          <w:lang w:eastAsia="fr-FR"/>
        </w:rPr>
        <w:t>- D’autre part, par un raisonnement analogue à celui de sa décision n°</w:t>
      </w:r>
      <w:r w:rsidR="00173F4D">
        <w:rPr>
          <w:lang w:eastAsia="fr-FR"/>
        </w:rPr>
        <w:t> </w:t>
      </w:r>
      <w:r>
        <w:rPr>
          <w:lang w:eastAsia="fr-FR"/>
        </w:rPr>
        <w:t>2022-3 RIP du 25 octobre 2022, le Conseil constitutionnel a relevé que cette proposition de loi prévoit d’</w:t>
      </w:r>
      <w:r>
        <w:t>augmenter de 9,2 % à 19,2 % le taux d’imposition à la contribution sociale généralisée d</w:t>
      </w:r>
      <w:r w:rsidRPr="000303CC">
        <w:t xml:space="preserve">es revenus du patrimoine mentionnés au e du paragraphe I de </w:t>
      </w:r>
      <w:r w:rsidRPr="000303CC">
        <w:lastRenderedPageBreak/>
        <w:t>l’article L.</w:t>
      </w:r>
      <w:r w:rsidR="00CA181D">
        <w:t> </w:t>
      </w:r>
      <w:r w:rsidRPr="000303CC">
        <w:t xml:space="preserve">136-6 du code de la sécurité sociale </w:t>
      </w:r>
      <w:r>
        <w:t>et</w:t>
      </w:r>
      <w:r w:rsidRPr="000303CC">
        <w:t xml:space="preserve"> </w:t>
      </w:r>
      <w:r>
        <w:t>d</w:t>
      </w:r>
      <w:r w:rsidRPr="000303CC">
        <w:t xml:space="preserve">es </w:t>
      </w:r>
      <w:r>
        <w:t>produits de placement mentionné</w:t>
      </w:r>
      <w:r w:rsidRPr="000303CC">
        <w:t>s</w:t>
      </w:r>
      <w:r>
        <w:t xml:space="preserve"> au</w:t>
      </w:r>
      <w:r w:rsidRPr="000303CC">
        <w:t xml:space="preserve"> 1° du paragraphe I de l’article L.</w:t>
      </w:r>
      <w:r w:rsidR="00CA181D">
        <w:t> </w:t>
      </w:r>
      <w:r w:rsidRPr="000303CC">
        <w:t>136-7 du même code</w:t>
      </w:r>
      <w:r>
        <w:t xml:space="preserve"> ainsi que d’affecter le produit de cette contribution sur ces revenus et produits à la branche vieillesse et veuvage du régime général de la sécurité sociale. Elle a ainsi pour seul effet d’abonder le budget d’une branche de la sécurité sociale en augmentant le taux </w:t>
      </w:r>
      <w:r w:rsidR="00EA2880">
        <w:t xml:space="preserve">applicable à une fraction de l’assiette </w:t>
      </w:r>
      <w:r>
        <w:t xml:space="preserve">d’une imposition existante dont le produit est déjà en partie affecté au financement du régime général de la sécurité sociale. </w:t>
      </w:r>
    </w:p>
    <w:p w14:paraId="0CA9E542" w14:textId="7731B8CC" w:rsidR="009B7EC1" w:rsidRDefault="009B7EC1" w:rsidP="009B7EC1">
      <w:pPr>
        <w:pStyle w:val="Considrants"/>
        <w:numPr>
          <w:ilvl w:val="0"/>
          <w:numId w:val="0"/>
        </w:numPr>
        <w:rPr>
          <w:lang w:eastAsia="fr-FR"/>
        </w:rPr>
      </w:pPr>
      <w:r>
        <w:rPr>
          <w:lang w:eastAsia="fr-FR"/>
        </w:rPr>
        <w:t>-</w:t>
      </w:r>
      <w:r w:rsidR="00CA181D">
        <w:rPr>
          <w:lang w:eastAsia="fr-FR"/>
        </w:rPr>
        <w:t> </w:t>
      </w:r>
      <w:r>
        <w:rPr>
          <w:lang w:eastAsia="fr-FR"/>
        </w:rPr>
        <w:t xml:space="preserve">De l’ensemble de ces motifs, le Conseil constitutionnel a déduit </w:t>
      </w:r>
      <w:r>
        <w:t xml:space="preserve">que la proposition de loi ne porte pas, au sens de l’article 11 de la Constitution, sur une réforme relative à la politique sociale. </w:t>
      </w:r>
    </w:p>
    <w:p w14:paraId="6CCCD99C" w14:textId="77777777" w:rsidR="00EF2509" w:rsidRPr="00056F94" w:rsidRDefault="003A6081" w:rsidP="00EF2509">
      <w:pPr>
        <w:pStyle w:val="Considrants"/>
        <w:numPr>
          <w:ilvl w:val="0"/>
          <w:numId w:val="0"/>
        </w:numPr>
        <w:rPr>
          <w:lang w:eastAsia="fr-FR"/>
        </w:rPr>
      </w:pPr>
      <w:r>
        <w:rPr>
          <w:lang w:eastAsia="fr-FR"/>
        </w:rPr>
        <w:t>Après avoir constaté que</w:t>
      </w:r>
      <w:r w:rsidR="00EF2509">
        <w:rPr>
          <w:lang w:eastAsia="fr-FR"/>
        </w:rPr>
        <w:t xml:space="preserve"> la proposition de loi</w:t>
      </w:r>
      <w:r w:rsidR="00EF2509">
        <w:t xml:space="preserve"> ne porte sur aucun des autres objets mentionnés au premier alinéa de l’article 11 de la Constitution, </w:t>
      </w:r>
      <w:r>
        <w:t xml:space="preserve">le Conseil constitutionnel juge donc qu’elle </w:t>
      </w:r>
      <w:r w:rsidR="00EF2509">
        <w:t>ne satisfait pas aux conditions fixées par le troisième alinéa de ce même article et le</w:t>
      </w:r>
      <w:r w:rsidR="00EF2509">
        <w:rPr>
          <w:lang w:eastAsia="fr-FR"/>
        </w:rPr>
        <w:t xml:space="preserve"> 2° de l’article 45-2 de l’ordonnance du 7 novembre 1958.</w:t>
      </w:r>
      <w:r w:rsidR="00EF2509" w:rsidDel="00987A78">
        <w:rPr>
          <w:lang w:eastAsia="fr-FR"/>
        </w:rPr>
        <w:t xml:space="preserve"> </w:t>
      </w:r>
    </w:p>
    <w:p w14:paraId="09C51E33" w14:textId="77777777" w:rsidR="00667625" w:rsidRDefault="00667625" w:rsidP="00667625">
      <w:pPr>
        <w:pStyle w:val="Considrants"/>
        <w:numPr>
          <w:ilvl w:val="0"/>
          <w:numId w:val="0"/>
        </w:numPr>
      </w:pPr>
    </w:p>
    <w:sectPr w:rsidR="0066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72D1" w14:textId="77777777" w:rsidR="00A4180D" w:rsidRDefault="00A4180D" w:rsidP="00E27852">
      <w:pPr>
        <w:spacing w:after="0" w:line="240" w:lineRule="auto"/>
      </w:pPr>
      <w:r>
        <w:separator/>
      </w:r>
    </w:p>
  </w:endnote>
  <w:endnote w:type="continuationSeparator" w:id="0">
    <w:p w14:paraId="3C777875" w14:textId="77777777" w:rsidR="00A4180D" w:rsidRDefault="00A4180D" w:rsidP="00E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31094"/>
      <w:docPartObj>
        <w:docPartGallery w:val="Page Numbers (Bottom of Page)"/>
        <w:docPartUnique/>
      </w:docPartObj>
    </w:sdtPr>
    <w:sdtEndPr/>
    <w:sdtContent>
      <w:p w14:paraId="2C235E81" w14:textId="77777777" w:rsidR="00C65A29" w:rsidRDefault="00C65A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1D">
          <w:rPr>
            <w:noProof/>
          </w:rPr>
          <w:t>1</w:t>
        </w:r>
        <w:r>
          <w:fldChar w:fldCharType="end"/>
        </w:r>
      </w:p>
    </w:sdtContent>
  </w:sdt>
  <w:p w14:paraId="63ED5526" w14:textId="77777777" w:rsidR="0071476A" w:rsidRDefault="007147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9650" w14:textId="77777777" w:rsidR="00A4180D" w:rsidRDefault="00A4180D" w:rsidP="00E27852">
      <w:pPr>
        <w:spacing w:after="0" w:line="240" w:lineRule="auto"/>
      </w:pPr>
      <w:r>
        <w:separator/>
      </w:r>
    </w:p>
  </w:footnote>
  <w:footnote w:type="continuationSeparator" w:id="0">
    <w:p w14:paraId="267BE51B" w14:textId="77777777" w:rsidR="00A4180D" w:rsidRDefault="00A4180D" w:rsidP="00E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4EB7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ED248E"/>
    <w:multiLevelType w:val="hybridMultilevel"/>
    <w:tmpl w:val="6C00D508"/>
    <w:lvl w:ilvl="0" w:tplc="84ECDD2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251E"/>
    <w:multiLevelType w:val="hybridMultilevel"/>
    <w:tmpl w:val="989E777E"/>
    <w:lvl w:ilvl="0" w:tplc="D478B0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4C25"/>
    <w:multiLevelType w:val="hybridMultilevel"/>
    <w:tmpl w:val="590C9F44"/>
    <w:lvl w:ilvl="0" w:tplc="AB80C7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EAE"/>
    <w:multiLevelType w:val="hybridMultilevel"/>
    <w:tmpl w:val="0AE0AA4A"/>
    <w:lvl w:ilvl="0" w:tplc="70DE985A">
      <w:start w:val="1"/>
      <w:numFmt w:val="decimal"/>
      <w:pStyle w:val="Considrants"/>
      <w:lvlText w:val="%1."/>
      <w:lvlJc w:val="left"/>
      <w:pPr>
        <w:ind w:left="19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lowerLetter"/>
      <w:lvlText w:val="%2."/>
      <w:lvlJc w:val="left"/>
      <w:pPr>
        <w:ind w:left="5987" w:hanging="360"/>
      </w:pPr>
    </w:lvl>
    <w:lvl w:ilvl="2" w:tplc="040C001B" w:tentative="1">
      <w:start w:val="1"/>
      <w:numFmt w:val="lowerRoman"/>
      <w:lvlText w:val="%3."/>
      <w:lvlJc w:val="right"/>
      <w:pPr>
        <w:ind w:left="6707" w:hanging="180"/>
      </w:pPr>
    </w:lvl>
    <w:lvl w:ilvl="3" w:tplc="040C000F" w:tentative="1">
      <w:start w:val="1"/>
      <w:numFmt w:val="decimal"/>
      <w:lvlText w:val="%4."/>
      <w:lvlJc w:val="left"/>
      <w:pPr>
        <w:ind w:left="7427" w:hanging="360"/>
      </w:pPr>
    </w:lvl>
    <w:lvl w:ilvl="4" w:tplc="040C0019" w:tentative="1">
      <w:start w:val="1"/>
      <w:numFmt w:val="lowerLetter"/>
      <w:lvlText w:val="%5."/>
      <w:lvlJc w:val="left"/>
      <w:pPr>
        <w:ind w:left="8147" w:hanging="360"/>
      </w:pPr>
    </w:lvl>
    <w:lvl w:ilvl="5" w:tplc="040C001B" w:tentative="1">
      <w:start w:val="1"/>
      <w:numFmt w:val="lowerRoman"/>
      <w:lvlText w:val="%6."/>
      <w:lvlJc w:val="right"/>
      <w:pPr>
        <w:ind w:left="8867" w:hanging="180"/>
      </w:pPr>
    </w:lvl>
    <w:lvl w:ilvl="6" w:tplc="040C000F" w:tentative="1">
      <w:start w:val="1"/>
      <w:numFmt w:val="decimal"/>
      <w:lvlText w:val="%7."/>
      <w:lvlJc w:val="left"/>
      <w:pPr>
        <w:ind w:left="9587" w:hanging="360"/>
      </w:pPr>
    </w:lvl>
    <w:lvl w:ilvl="7" w:tplc="040C0019" w:tentative="1">
      <w:start w:val="1"/>
      <w:numFmt w:val="lowerLetter"/>
      <w:lvlText w:val="%8."/>
      <w:lvlJc w:val="left"/>
      <w:pPr>
        <w:ind w:left="10307" w:hanging="360"/>
      </w:pPr>
    </w:lvl>
    <w:lvl w:ilvl="8" w:tplc="040C001B" w:tentative="1">
      <w:start w:val="1"/>
      <w:numFmt w:val="lowerRoman"/>
      <w:lvlText w:val="%9."/>
      <w:lvlJc w:val="right"/>
      <w:pPr>
        <w:ind w:left="11027" w:hanging="180"/>
      </w:pPr>
    </w:lvl>
  </w:abstractNum>
  <w:abstractNum w:abstractNumId="5" w15:restartNumberingAfterBreak="0">
    <w:nsid w:val="36190ED0"/>
    <w:multiLevelType w:val="hybridMultilevel"/>
    <w:tmpl w:val="614293EE"/>
    <w:lvl w:ilvl="0" w:tplc="57C452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313E4"/>
    <w:multiLevelType w:val="hybridMultilevel"/>
    <w:tmpl w:val="F6B64EAA"/>
    <w:lvl w:ilvl="0" w:tplc="085040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3B90"/>
    <w:multiLevelType w:val="hybridMultilevel"/>
    <w:tmpl w:val="5804FD1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45FFE"/>
    <w:multiLevelType w:val="hybridMultilevel"/>
    <w:tmpl w:val="A1081730"/>
    <w:lvl w:ilvl="0" w:tplc="25963C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A4567"/>
    <w:multiLevelType w:val="hybridMultilevel"/>
    <w:tmpl w:val="B9603300"/>
    <w:lvl w:ilvl="0" w:tplc="27A413F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6F2C"/>
    <w:multiLevelType w:val="hybridMultilevel"/>
    <w:tmpl w:val="FEE640D6"/>
    <w:lvl w:ilvl="0" w:tplc="8FD8D1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DA"/>
    <w:rsid w:val="00005492"/>
    <w:rsid w:val="000170A9"/>
    <w:rsid w:val="0002542B"/>
    <w:rsid w:val="0004002C"/>
    <w:rsid w:val="0005224F"/>
    <w:rsid w:val="00061FF5"/>
    <w:rsid w:val="00065E01"/>
    <w:rsid w:val="0007643B"/>
    <w:rsid w:val="00077E5E"/>
    <w:rsid w:val="000A3255"/>
    <w:rsid w:val="000C5B00"/>
    <w:rsid w:val="000C7AF7"/>
    <w:rsid w:val="000E4A80"/>
    <w:rsid w:val="000F7D5C"/>
    <w:rsid w:val="0010120C"/>
    <w:rsid w:val="00117E97"/>
    <w:rsid w:val="001218DC"/>
    <w:rsid w:val="001337C3"/>
    <w:rsid w:val="001417C0"/>
    <w:rsid w:val="001431C2"/>
    <w:rsid w:val="00146A3B"/>
    <w:rsid w:val="00156EB7"/>
    <w:rsid w:val="00164017"/>
    <w:rsid w:val="00164453"/>
    <w:rsid w:val="00170B43"/>
    <w:rsid w:val="00173F4D"/>
    <w:rsid w:val="00194782"/>
    <w:rsid w:val="001A23A5"/>
    <w:rsid w:val="001A5615"/>
    <w:rsid w:val="001A6BFF"/>
    <w:rsid w:val="001B15B4"/>
    <w:rsid w:val="001F47C8"/>
    <w:rsid w:val="00212116"/>
    <w:rsid w:val="00217A6F"/>
    <w:rsid w:val="0022152F"/>
    <w:rsid w:val="00226CE1"/>
    <w:rsid w:val="002360B2"/>
    <w:rsid w:val="00244D61"/>
    <w:rsid w:val="00254095"/>
    <w:rsid w:val="00267491"/>
    <w:rsid w:val="002829F7"/>
    <w:rsid w:val="002854EB"/>
    <w:rsid w:val="002906B9"/>
    <w:rsid w:val="002920AC"/>
    <w:rsid w:val="002927B6"/>
    <w:rsid w:val="002B6B29"/>
    <w:rsid w:val="002C7BD9"/>
    <w:rsid w:val="002D462A"/>
    <w:rsid w:val="002E7069"/>
    <w:rsid w:val="002F3883"/>
    <w:rsid w:val="00305ADC"/>
    <w:rsid w:val="003169DB"/>
    <w:rsid w:val="00320D9E"/>
    <w:rsid w:val="0032578E"/>
    <w:rsid w:val="00330F10"/>
    <w:rsid w:val="003452F5"/>
    <w:rsid w:val="0035122C"/>
    <w:rsid w:val="00372C9E"/>
    <w:rsid w:val="003A46C1"/>
    <w:rsid w:val="003A47CD"/>
    <w:rsid w:val="003A6081"/>
    <w:rsid w:val="003B1D01"/>
    <w:rsid w:val="003B5E3C"/>
    <w:rsid w:val="003E1194"/>
    <w:rsid w:val="003E33F4"/>
    <w:rsid w:val="003E4418"/>
    <w:rsid w:val="003E68F2"/>
    <w:rsid w:val="003F0BE3"/>
    <w:rsid w:val="003F0FED"/>
    <w:rsid w:val="003F7CDA"/>
    <w:rsid w:val="003F7ED2"/>
    <w:rsid w:val="00402A73"/>
    <w:rsid w:val="0043440F"/>
    <w:rsid w:val="0043537F"/>
    <w:rsid w:val="00463601"/>
    <w:rsid w:val="00464CEA"/>
    <w:rsid w:val="00467055"/>
    <w:rsid w:val="00476B37"/>
    <w:rsid w:val="00480301"/>
    <w:rsid w:val="00481DC7"/>
    <w:rsid w:val="00493ECC"/>
    <w:rsid w:val="004B49C2"/>
    <w:rsid w:val="004E53CD"/>
    <w:rsid w:val="004F449D"/>
    <w:rsid w:val="004F7766"/>
    <w:rsid w:val="005046FC"/>
    <w:rsid w:val="00530302"/>
    <w:rsid w:val="00551C26"/>
    <w:rsid w:val="005709A0"/>
    <w:rsid w:val="0057117F"/>
    <w:rsid w:val="00581897"/>
    <w:rsid w:val="005850D1"/>
    <w:rsid w:val="0059729C"/>
    <w:rsid w:val="00597323"/>
    <w:rsid w:val="005B0326"/>
    <w:rsid w:val="005B51EB"/>
    <w:rsid w:val="005B523C"/>
    <w:rsid w:val="005C572F"/>
    <w:rsid w:val="006123DB"/>
    <w:rsid w:val="006129F0"/>
    <w:rsid w:val="00616D97"/>
    <w:rsid w:val="006200FB"/>
    <w:rsid w:val="006204EB"/>
    <w:rsid w:val="00631787"/>
    <w:rsid w:val="006323BC"/>
    <w:rsid w:val="0066371D"/>
    <w:rsid w:val="006646DA"/>
    <w:rsid w:val="00667625"/>
    <w:rsid w:val="00673E1E"/>
    <w:rsid w:val="00675D89"/>
    <w:rsid w:val="006857B4"/>
    <w:rsid w:val="006A59C3"/>
    <w:rsid w:val="006A5E88"/>
    <w:rsid w:val="006B5D65"/>
    <w:rsid w:val="006C0B74"/>
    <w:rsid w:val="006C1A11"/>
    <w:rsid w:val="006C5C78"/>
    <w:rsid w:val="006E1C73"/>
    <w:rsid w:val="0070370E"/>
    <w:rsid w:val="0071476A"/>
    <w:rsid w:val="007338B6"/>
    <w:rsid w:val="00737773"/>
    <w:rsid w:val="0074052D"/>
    <w:rsid w:val="00742C58"/>
    <w:rsid w:val="007467A1"/>
    <w:rsid w:val="0075771D"/>
    <w:rsid w:val="00760B46"/>
    <w:rsid w:val="00790416"/>
    <w:rsid w:val="007B0643"/>
    <w:rsid w:val="007C5C87"/>
    <w:rsid w:val="007C7CDE"/>
    <w:rsid w:val="007D3E4D"/>
    <w:rsid w:val="00805CFA"/>
    <w:rsid w:val="00837C57"/>
    <w:rsid w:val="00843691"/>
    <w:rsid w:val="00852905"/>
    <w:rsid w:val="00854553"/>
    <w:rsid w:val="00866A0D"/>
    <w:rsid w:val="00870D3E"/>
    <w:rsid w:val="00870DB6"/>
    <w:rsid w:val="008715E0"/>
    <w:rsid w:val="00872E50"/>
    <w:rsid w:val="00882668"/>
    <w:rsid w:val="00897E94"/>
    <w:rsid w:val="008A5533"/>
    <w:rsid w:val="008B2E78"/>
    <w:rsid w:val="008B6EDC"/>
    <w:rsid w:val="008F6C6F"/>
    <w:rsid w:val="00923532"/>
    <w:rsid w:val="0093203D"/>
    <w:rsid w:val="00932720"/>
    <w:rsid w:val="0095198B"/>
    <w:rsid w:val="00960450"/>
    <w:rsid w:val="0096212F"/>
    <w:rsid w:val="00972D7A"/>
    <w:rsid w:val="009B43F7"/>
    <w:rsid w:val="009B7EC1"/>
    <w:rsid w:val="009C4ECE"/>
    <w:rsid w:val="009E2D8D"/>
    <w:rsid w:val="009E6922"/>
    <w:rsid w:val="009F51EB"/>
    <w:rsid w:val="009F774B"/>
    <w:rsid w:val="00A138D5"/>
    <w:rsid w:val="00A14555"/>
    <w:rsid w:val="00A1479A"/>
    <w:rsid w:val="00A37FFA"/>
    <w:rsid w:val="00A4180D"/>
    <w:rsid w:val="00A479EE"/>
    <w:rsid w:val="00A64561"/>
    <w:rsid w:val="00A65C8B"/>
    <w:rsid w:val="00A86DDF"/>
    <w:rsid w:val="00A87FA0"/>
    <w:rsid w:val="00A957BE"/>
    <w:rsid w:val="00AA1265"/>
    <w:rsid w:val="00AC34B2"/>
    <w:rsid w:val="00AC7666"/>
    <w:rsid w:val="00AE534C"/>
    <w:rsid w:val="00AF2F0F"/>
    <w:rsid w:val="00B01DB2"/>
    <w:rsid w:val="00B05D1F"/>
    <w:rsid w:val="00B0722D"/>
    <w:rsid w:val="00B13690"/>
    <w:rsid w:val="00B244B6"/>
    <w:rsid w:val="00B25F83"/>
    <w:rsid w:val="00B36879"/>
    <w:rsid w:val="00B372C8"/>
    <w:rsid w:val="00B37FB8"/>
    <w:rsid w:val="00B43F90"/>
    <w:rsid w:val="00B5090E"/>
    <w:rsid w:val="00B6126B"/>
    <w:rsid w:val="00B70FB4"/>
    <w:rsid w:val="00B86702"/>
    <w:rsid w:val="00B90C1C"/>
    <w:rsid w:val="00BA48BE"/>
    <w:rsid w:val="00BB3DE0"/>
    <w:rsid w:val="00BC35B4"/>
    <w:rsid w:val="00BD2153"/>
    <w:rsid w:val="00BD3CFD"/>
    <w:rsid w:val="00BD6B02"/>
    <w:rsid w:val="00BE0CE5"/>
    <w:rsid w:val="00BE1A72"/>
    <w:rsid w:val="00BE4856"/>
    <w:rsid w:val="00BE4EE6"/>
    <w:rsid w:val="00C00193"/>
    <w:rsid w:val="00C00A4D"/>
    <w:rsid w:val="00C011F8"/>
    <w:rsid w:val="00C16079"/>
    <w:rsid w:val="00C16F1A"/>
    <w:rsid w:val="00C177A0"/>
    <w:rsid w:val="00C20678"/>
    <w:rsid w:val="00C44F77"/>
    <w:rsid w:val="00C46FAC"/>
    <w:rsid w:val="00C55690"/>
    <w:rsid w:val="00C60B3D"/>
    <w:rsid w:val="00C65A29"/>
    <w:rsid w:val="00C8229D"/>
    <w:rsid w:val="00C84350"/>
    <w:rsid w:val="00C972D9"/>
    <w:rsid w:val="00CA181D"/>
    <w:rsid w:val="00CA4688"/>
    <w:rsid w:val="00CA5CFD"/>
    <w:rsid w:val="00CB5086"/>
    <w:rsid w:val="00CB652D"/>
    <w:rsid w:val="00CC1259"/>
    <w:rsid w:val="00CC5035"/>
    <w:rsid w:val="00CF00E1"/>
    <w:rsid w:val="00CF258B"/>
    <w:rsid w:val="00CF7539"/>
    <w:rsid w:val="00D32E4A"/>
    <w:rsid w:val="00D368C3"/>
    <w:rsid w:val="00D44DE2"/>
    <w:rsid w:val="00D62A7F"/>
    <w:rsid w:val="00D82620"/>
    <w:rsid w:val="00D924F7"/>
    <w:rsid w:val="00D95C28"/>
    <w:rsid w:val="00DA5356"/>
    <w:rsid w:val="00DA65DB"/>
    <w:rsid w:val="00DB2EAB"/>
    <w:rsid w:val="00DB2FDE"/>
    <w:rsid w:val="00DB4E8F"/>
    <w:rsid w:val="00DD4BEB"/>
    <w:rsid w:val="00DF112D"/>
    <w:rsid w:val="00E047DD"/>
    <w:rsid w:val="00E05B2C"/>
    <w:rsid w:val="00E119E8"/>
    <w:rsid w:val="00E12F8F"/>
    <w:rsid w:val="00E13D92"/>
    <w:rsid w:val="00E209B7"/>
    <w:rsid w:val="00E27852"/>
    <w:rsid w:val="00E40FB8"/>
    <w:rsid w:val="00E412E5"/>
    <w:rsid w:val="00E45735"/>
    <w:rsid w:val="00E626DE"/>
    <w:rsid w:val="00E6662A"/>
    <w:rsid w:val="00E704C1"/>
    <w:rsid w:val="00E72892"/>
    <w:rsid w:val="00E85C6B"/>
    <w:rsid w:val="00EA2880"/>
    <w:rsid w:val="00EB673D"/>
    <w:rsid w:val="00EC0B5B"/>
    <w:rsid w:val="00EF2509"/>
    <w:rsid w:val="00F06C1D"/>
    <w:rsid w:val="00F157DD"/>
    <w:rsid w:val="00F23E4A"/>
    <w:rsid w:val="00F33C09"/>
    <w:rsid w:val="00F451D7"/>
    <w:rsid w:val="00F6458B"/>
    <w:rsid w:val="00F67DDD"/>
    <w:rsid w:val="00F80F78"/>
    <w:rsid w:val="00F81A52"/>
    <w:rsid w:val="00F96B14"/>
    <w:rsid w:val="00FA41BF"/>
    <w:rsid w:val="00FA4E6A"/>
    <w:rsid w:val="00FA69B8"/>
    <w:rsid w:val="00FB2188"/>
    <w:rsid w:val="00FB304A"/>
    <w:rsid w:val="00FB626A"/>
    <w:rsid w:val="00FC44E9"/>
    <w:rsid w:val="00FC5653"/>
    <w:rsid w:val="00FD354A"/>
    <w:rsid w:val="00FE35BA"/>
    <w:rsid w:val="00FF1677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DDE"/>
  <w15:chartTrackingRefBased/>
  <w15:docId w15:val="{284E925C-D41C-4906-A23A-5F69810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DA"/>
    <w:pPr>
      <w:spacing w:after="200" w:line="276" w:lineRule="auto"/>
    </w:pPr>
  </w:style>
  <w:style w:type="paragraph" w:styleId="Titre3">
    <w:name w:val="heading 3"/>
    <w:basedOn w:val="Normal"/>
    <w:link w:val="Titre3Car"/>
    <w:uiPriority w:val="9"/>
    <w:qFormat/>
    <w:rsid w:val="000C5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C">
    <w:name w:val="Texte CC"/>
    <w:basedOn w:val="Normal"/>
    <w:link w:val="TexteCCCar"/>
    <w:qFormat/>
    <w:rsid w:val="006646DA"/>
    <w:pPr>
      <w:spacing w:before="240" w:after="240" w:line="240" w:lineRule="auto"/>
      <w:ind w:left="567" w:firstLine="113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exteCCCar">
    <w:name w:val="Texte CC Car"/>
    <w:basedOn w:val="Policepardfaut"/>
    <w:link w:val="TexteCC"/>
    <w:rsid w:val="006646DA"/>
    <w:rPr>
      <w:rFonts w:ascii="Times New Roman" w:hAnsi="Times New Roman" w:cs="Times New Roman"/>
      <w:sz w:val="28"/>
      <w:szCs w:val="28"/>
    </w:rPr>
  </w:style>
  <w:style w:type="paragraph" w:customStyle="1" w:styleId="Considrants">
    <w:name w:val="Considérants"/>
    <w:basedOn w:val="Normal"/>
    <w:link w:val="ConsidrantsCar"/>
    <w:uiPriority w:val="1"/>
    <w:qFormat/>
    <w:rsid w:val="00FB2188"/>
    <w:pPr>
      <w:numPr>
        <w:numId w:val="1"/>
      </w:numPr>
      <w:spacing w:before="360" w:after="0" w:line="240" w:lineRule="auto"/>
      <w:ind w:left="56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idrantsCar">
    <w:name w:val="Considérants Car"/>
    <w:basedOn w:val="Policepardfaut"/>
    <w:link w:val="Considrants"/>
    <w:uiPriority w:val="1"/>
    <w:rsid w:val="00FB2188"/>
    <w:rPr>
      <w:rFonts w:ascii="Times New Roman" w:eastAsia="Calibri" w:hAnsi="Times New Roman" w:cs="Times New Roman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2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852"/>
  </w:style>
  <w:style w:type="paragraph" w:styleId="Pieddepage">
    <w:name w:val="footer"/>
    <w:basedOn w:val="Normal"/>
    <w:link w:val="PieddepageCar"/>
    <w:uiPriority w:val="99"/>
    <w:unhideWhenUsed/>
    <w:rsid w:val="00E2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852"/>
  </w:style>
  <w:style w:type="paragraph" w:styleId="Textedebulles">
    <w:name w:val="Balloon Text"/>
    <w:basedOn w:val="Normal"/>
    <w:link w:val="TextedebullesCar"/>
    <w:uiPriority w:val="99"/>
    <w:semiHidden/>
    <w:unhideWhenUsed/>
    <w:rsid w:val="001F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7C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9B43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3F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3F7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E5E"/>
    <w:pPr>
      <w:spacing w:after="20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E5E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479EE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76B37"/>
    <w:rPr>
      <w:color w:val="808080"/>
    </w:rPr>
  </w:style>
  <w:style w:type="paragraph" w:styleId="Listepuces">
    <w:name w:val="List Bullet"/>
    <w:basedOn w:val="Normal"/>
    <w:uiPriority w:val="99"/>
    <w:unhideWhenUsed/>
    <w:rsid w:val="00156EB7"/>
    <w:pPr>
      <w:numPr>
        <w:numId w:val="7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5B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itationdarticles">
    <w:name w:val="Citation d'articles"/>
    <w:basedOn w:val="Considrants"/>
    <w:link w:val="CitationdarticlesCar"/>
    <w:uiPriority w:val="1"/>
    <w:qFormat/>
    <w:rsid w:val="00667625"/>
    <w:pPr>
      <w:numPr>
        <w:numId w:val="0"/>
      </w:numPr>
      <w:spacing w:before="0"/>
      <w:ind w:left="567" w:firstLine="1134"/>
    </w:pPr>
  </w:style>
  <w:style w:type="character" w:customStyle="1" w:styleId="CitationdarticlesCar">
    <w:name w:val="Citation d'articles Car"/>
    <w:basedOn w:val="ConsidrantsCar"/>
    <w:link w:val="Citationdarticles"/>
    <w:uiPriority w:val="1"/>
    <w:rsid w:val="00667625"/>
    <w:rPr>
      <w:rFonts w:ascii="Times New Roman" w:eastAsia="Calibri" w:hAnsi="Times New Roman" w:cs="Times New Roman"/>
      <w:sz w:val="28"/>
      <w:szCs w:val="28"/>
    </w:rPr>
  </w:style>
  <w:style w:type="character" w:customStyle="1" w:styleId="policepardfaut0">
    <w:name w:val="policepardfaut"/>
    <w:basedOn w:val="Policepardfaut"/>
    <w:rsid w:val="002F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0C90-A91E-47A8-A041-2E27C0CF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constitutionnel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Maïa Jean</dc:creator>
  <cp:keywords/>
  <dc:description/>
  <cp:lastModifiedBy>Maïa Jean</cp:lastModifiedBy>
  <cp:revision>2</cp:revision>
  <cp:lastPrinted>2023-04-14T12:58:00Z</cp:lastPrinted>
  <dcterms:created xsi:type="dcterms:W3CDTF">2023-05-03T14:07:00Z</dcterms:created>
  <dcterms:modified xsi:type="dcterms:W3CDTF">2023-05-03T14:07:00Z</dcterms:modified>
</cp:coreProperties>
</file>